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关于做好2018年度校级精品资源在线开放课程建设项目</w:t>
      </w:r>
    </w:p>
    <w:p>
      <w:pPr>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申报工作的通知</w:t>
      </w:r>
    </w:p>
    <w:p>
      <w:pPr>
        <w:adjustRightInd w:val="0"/>
        <w:snapToGrid w:val="0"/>
        <w:spacing w:line="580" w:lineRule="exact"/>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各学院：</w:t>
      </w:r>
    </w:p>
    <w:p>
      <w:pPr>
        <w:ind w:firstLine="560" w:firstLineChars="200"/>
        <w:jc w:val="both"/>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rPr>
        <w:t>根据《教育部关于加强高等学校在线开放课程建设应用与管理的意见》（教高〔2015〕3号）</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《教育厅关于组织开展2016年省级精品在线开放课程建设工作的通知》（赣教高字[2016]40号）</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《江西科技师范大学教学质量工程实施意见（2016-2020）》（赣</w:t>
      </w:r>
      <w:r>
        <w:rPr>
          <w:rFonts w:hint="eastAsia" w:ascii="楷体_GB2312" w:hAnsi="楷体_GB2312" w:eastAsia="楷体_GB2312" w:cs="楷体_GB2312"/>
          <w:sz w:val="28"/>
          <w:szCs w:val="28"/>
          <w:lang w:eastAsia="zh-CN"/>
        </w:rPr>
        <w:t>科大发</w:t>
      </w:r>
      <w:r>
        <w:rPr>
          <w:rFonts w:hint="eastAsia" w:ascii="楷体_GB2312" w:hAnsi="楷体_GB2312" w:eastAsia="楷体_GB2312" w:cs="楷体_GB2312"/>
          <w:sz w:val="28"/>
          <w:szCs w:val="28"/>
        </w:rPr>
        <w:t>[201</w:t>
      </w:r>
      <w:r>
        <w:rPr>
          <w:rFonts w:hint="eastAsia" w:ascii="楷体_GB2312" w:hAnsi="楷体_GB2312" w:eastAsia="楷体_GB2312" w:cs="楷体_GB2312"/>
          <w:sz w:val="28"/>
          <w:szCs w:val="28"/>
          <w:lang w:val="en-US" w:eastAsia="zh-CN"/>
        </w:rPr>
        <w:t>7</w:t>
      </w: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val="en-US" w:eastAsia="zh-CN"/>
        </w:rPr>
        <w:t>87</w:t>
      </w:r>
      <w:r>
        <w:rPr>
          <w:rFonts w:hint="eastAsia" w:ascii="楷体_GB2312" w:hAnsi="楷体_GB2312" w:eastAsia="楷体_GB2312" w:cs="楷体_GB2312"/>
          <w:sz w:val="28"/>
          <w:szCs w:val="28"/>
        </w:rPr>
        <w:t>号）文件精神</w:t>
      </w:r>
      <w:r>
        <w:rPr>
          <w:rFonts w:hint="eastAsia" w:ascii="楷体_GB2312" w:hAnsi="楷体_GB2312" w:eastAsia="楷体_GB2312" w:cs="楷体_GB2312"/>
          <w:sz w:val="28"/>
          <w:szCs w:val="28"/>
          <w:lang w:eastAsia="zh-CN"/>
        </w:rPr>
        <w:t>，为丰富我校教育教学资源，推动信息技术与教育教学深度融合，促进优质教育资源的应用与共享，我校将在“十三五”期间组织开展精品资源在线开放课程的建设工作，现就</w:t>
      </w:r>
      <w:r>
        <w:rPr>
          <w:rFonts w:hint="eastAsia" w:ascii="楷体_GB2312" w:hAnsi="楷体_GB2312" w:eastAsia="楷体_GB2312" w:cs="楷体_GB2312"/>
          <w:sz w:val="28"/>
          <w:szCs w:val="28"/>
          <w:lang w:val="en-US" w:eastAsia="zh-CN"/>
        </w:rPr>
        <w:t xml:space="preserve">2018年立项建设工作有关事项通知如下。   </w:t>
      </w:r>
    </w:p>
    <w:p>
      <w:pPr>
        <w:numPr>
          <w:ilvl w:val="0"/>
          <w:numId w:val="1"/>
        </w:numPr>
        <w:ind w:firstLine="562" w:firstLineChars="200"/>
        <w:jc w:val="both"/>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建设目标与任务</w:t>
      </w:r>
    </w:p>
    <w:p>
      <w:pPr>
        <w:ind w:firstLine="560" w:firstLineChars="200"/>
        <w:jc w:val="both"/>
        <w:rPr>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lang w:eastAsia="zh-CN"/>
        </w:rPr>
        <w:t>鼓励教师跨校或跨专业通过协同创新和集成创新的方式建设满足不同教学需要、不同学习需求的在线开放课程或课程群。鼓励教师积极探索在线开放课程学分认定和学分互认。鼓励教师在课堂教学中有效利用在线教学资源，研究使用手段，开展实际应用。</w:t>
      </w:r>
    </w:p>
    <w:p>
      <w:pPr>
        <w:snapToGrid w:val="0"/>
        <w:spacing w:line="540" w:lineRule="exact"/>
        <w:ind w:firstLine="640"/>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eastAsia="zh-CN"/>
        </w:rPr>
        <w:t>综合考察课程的教学内容与资源、教学设计与方法、教学活动与评价、教学效果与影响、团队支持与服务等要素。</w:t>
      </w:r>
    </w:p>
    <w:p>
      <w:pPr>
        <w:numPr>
          <w:ilvl w:val="0"/>
          <w:numId w:val="1"/>
        </w:numPr>
        <w:snapToGrid w:val="0"/>
        <w:spacing w:line="540" w:lineRule="exact"/>
        <w:ind w:firstLine="562" w:firstLineChars="200"/>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推荐课程类型</w:t>
      </w:r>
    </w:p>
    <w:p>
      <w:pPr>
        <w:numPr>
          <w:ilvl w:val="0"/>
          <w:numId w:val="2"/>
        </w:numPr>
        <w:snapToGrid w:val="0"/>
        <w:spacing w:line="540" w:lineRule="exact"/>
        <w:ind w:firstLine="640"/>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大学生文化素质教育课</w:t>
      </w:r>
    </w:p>
    <w:p>
      <w:pPr>
        <w:numPr>
          <w:ilvl w:val="0"/>
          <w:numId w:val="2"/>
        </w:numPr>
        <w:snapToGrid w:val="0"/>
        <w:spacing w:line="540" w:lineRule="exact"/>
        <w:ind w:firstLine="640"/>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受众面广的公共课</w:t>
      </w:r>
    </w:p>
    <w:p>
      <w:pPr>
        <w:numPr>
          <w:ilvl w:val="0"/>
          <w:numId w:val="2"/>
        </w:numPr>
        <w:snapToGrid w:val="0"/>
        <w:spacing w:line="540" w:lineRule="exact"/>
        <w:ind w:firstLine="640"/>
        <w:rPr>
          <w:rFonts w:hint="eastAsia" w:ascii="楷体_GB2312" w:hAnsi="楷体_GB2312" w:eastAsia="楷体_GB2312" w:cs="楷体_GB2312"/>
          <w:i w:val="0"/>
          <w:iCs w:val="0"/>
          <w:sz w:val="28"/>
          <w:szCs w:val="28"/>
          <w:lang w:val="en-US" w:eastAsia="zh-CN"/>
        </w:rPr>
      </w:pPr>
      <w:r>
        <w:rPr>
          <w:rFonts w:hint="eastAsia" w:ascii="楷体_GB2312" w:hAnsi="楷体_GB2312" w:eastAsia="楷体_GB2312" w:cs="楷体_GB2312"/>
          <w:i w:val="0"/>
          <w:iCs w:val="0"/>
          <w:color w:val="000000"/>
          <w:sz w:val="28"/>
          <w:szCs w:val="28"/>
        </w:rPr>
        <w:t>有特色的学科基础课和专业核心课</w:t>
      </w:r>
    </w:p>
    <w:p>
      <w:pPr>
        <w:numPr>
          <w:ilvl w:val="0"/>
          <w:numId w:val="2"/>
        </w:numPr>
        <w:snapToGrid w:val="0"/>
        <w:spacing w:line="540" w:lineRule="exact"/>
        <w:ind w:firstLine="640"/>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创新创业类课程</w:t>
      </w:r>
    </w:p>
    <w:p>
      <w:pPr>
        <w:numPr>
          <w:ilvl w:val="0"/>
          <w:numId w:val="2"/>
        </w:numPr>
        <w:snapToGrid w:val="0"/>
        <w:spacing w:line="540" w:lineRule="exact"/>
        <w:ind w:firstLine="640"/>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本科高校转型发展课程和专业核心课程</w:t>
      </w:r>
    </w:p>
    <w:p>
      <w:pPr>
        <w:numPr>
          <w:ilvl w:val="0"/>
          <w:numId w:val="0"/>
        </w:numPr>
        <w:snapToGrid w:val="0"/>
        <w:spacing w:line="540" w:lineRule="exact"/>
        <w:ind w:firstLine="562" w:firstLineChars="200"/>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三、申报条件</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1、课程质量高，教学效果好，得到广大教师和专家的好评，在同类课程中具有一定的影响力和较强的示范性。</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2、教学设计融入先进的教学理念和思想，并充分利用现代技术手段，实现教学方法的多样性和创新性，适合网络共享及网上公开使用。</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3、课程资源系统完整，丰富多样，特色鲜明，实用性强，能够保证课程高效使用和可持续建设与更新。</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333333"/>
          <w:kern w:val="0"/>
          <w:sz w:val="28"/>
          <w:szCs w:val="28"/>
        </w:rPr>
        <w:t>4</w:t>
      </w:r>
      <w:r>
        <w:rPr>
          <w:rFonts w:hint="eastAsia" w:ascii="楷体_GB2312" w:hAnsi="楷体_GB2312" w:eastAsia="楷体_GB2312" w:cs="楷体_GB2312"/>
          <w:color w:val="000000"/>
          <w:sz w:val="28"/>
          <w:szCs w:val="28"/>
        </w:rPr>
        <w:t>、课程负责人须是在职教师，为本学科领域的专家，具有较高的学术造诣，原则上需具有高级专业技术职务。课程建设团队有良好的合作精神，结构合理，能够充分根据在线课程特点重塑课程内容设计，对在线开放课程建设有较高热情，能积极投入课程建设和上线后的教学辅导工作。</w:t>
      </w:r>
    </w:p>
    <w:p>
      <w:pPr>
        <w:adjustRightInd w:val="0"/>
        <w:snapToGrid w:val="0"/>
        <w:spacing w:line="580" w:lineRule="exact"/>
        <w:ind w:firstLine="640"/>
        <w:rPr>
          <w:rFonts w:cs="华文仿宋" w:asciiTheme="majorEastAsia" w:hAnsiTheme="majorEastAsia" w:eastAsiaTheme="majorEastAsia"/>
          <w:b/>
          <w:bCs/>
          <w:color w:val="000000"/>
          <w:szCs w:val="28"/>
        </w:rPr>
      </w:pPr>
      <w:r>
        <w:rPr>
          <w:rFonts w:hint="eastAsia" w:ascii="楷体_GB2312" w:hAnsi="楷体_GB2312" w:eastAsia="楷体_GB2312" w:cs="楷体_GB2312"/>
          <w:b/>
          <w:bCs/>
          <w:i w:val="0"/>
          <w:caps w:val="0"/>
          <w:color w:val="000000"/>
          <w:spacing w:val="0"/>
          <w:kern w:val="0"/>
          <w:sz w:val="28"/>
          <w:szCs w:val="28"/>
          <w:shd w:val="clear" w:fill="FFFFFF"/>
          <w:lang w:val="en-US" w:eastAsia="zh-CN" w:bidi="ar"/>
        </w:rPr>
        <w:t>四、立项与推荐数量</w:t>
      </w:r>
    </w:p>
    <w:p>
      <w:pPr>
        <w:adjustRightInd w:val="0"/>
        <w:snapToGrid w:val="0"/>
        <w:spacing w:line="580" w:lineRule="exact"/>
        <w:ind w:firstLine="64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1、2018年</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精品</w:t>
      </w: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资源</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在线开放课程</w:t>
      </w: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立项数量为38项，其中校级重点8门，校级一般30项，建设周期1年。</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color w:val="000000"/>
          <w:sz w:val="28"/>
          <w:szCs w:val="28"/>
          <w:lang w:val="en-US" w:eastAsia="zh-CN"/>
        </w:rPr>
        <w:t>2、</w:t>
      </w:r>
      <w:r>
        <w:rPr>
          <w:rFonts w:hint="eastAsia" w:ascii="楷体_GB2312" w:hAnsi="楷体_GB2312" w:eastAsia="楷体_GB2312" w:cs="楷体_GB2312"/>
          <w:color w:val="auto"/>
          <w:kern w:val="0"/>
          <w:sz w:val="30"/>
          <w:szCs w:val="30"/>
          <w:lang w:val="en-US" w:eastAsia="zh-CN"/>
        </w:rPr>
        <w:t>2017年度的项目申报主要集中在通信与电子学院、药学院、教育学院、外国语学院、材料学院等学院，其他学院申报的积极性不够，请上年度尚未申报立项的学院必须积极动员相关老师申报，已获立项的学院继续组织相关教师积极申报。其中要求拟申报博士点的相关学院，每个学院申报数目不得少于1门；拟申报一流专业的相关专业，每个专业申报数目不得少于1门。</w:t>
      </w:r>
    </w:p>
    <w:p>
      <w:pPr>
        <w:adjustRightInd w:val="0"/>
        <w:snapToGrid w:val="0"/>
        <w:spacing w:line="580" w:lineRule="exact"/>
        <w:ind w:firstLine="640"/>
        <w:rPr>
          <w:rFonts w:hint="eastAsia" w:ascii="楷体_GB2312" w:hAnsi="楷体_GB2312" w:eastAsia="楷体_GB2312" w:cs="楷体_GB2312"/>
          <w:b/>
          <w:bCs/>
          <w:color w:val="000000"/>
          <w:sz w:val="28"/>
          <w:szCs w:val="28"/>
        </w:rPr>
      </w:pPr>
      <w:r>
        <w:rPr>
          <w:rFonts w:hint="eastAsia" w:ascii="楷体_GB2312" w:hAnsi="楷体_GB2312" w:eastAsia="楷体_GB2312" w:cs="楷体_GB2312"/>
          <w:b/>
          <w:bCs/>
          <w:color w:val="000000"/>
          <w:sz w:val="28"/>
          <w:szCs w:val="28"/>
        </w:rPr>
        <w:t>五、申报与遴选</w:t>
      </w:r>
    </w:p>
    <w:p>
      <w:pPr>
        <w:adjustRightInd w:val="0"/>
        <w:snapToGrid w:val="0"/>
        <w:spacing w:line="580" w:lineRule="exact"/>
        <w:ind w:firstLine="640"/>
        <w:rPr>
          <w:rFonts w:hint="eastAsia" w:ascii="楷体_GB2312" w:hAnsi="楷体_GB2312" w:eastAsia="楷体_GB2312" w:cs="楷体_GB2312"/>
          <w:color w:val="000000"/>
          <w:sz w:val="28"/>
          <w:szCs w:val="28"/>
          <w:lang w:val="en-US" w:eastAsia="zh-CN"/>
        </w:rPr>
      </w:pPr>
      <w:r>
        <w:rPr>
          <w:rFonts w:hint="eastAsia" w:ascii="楷体_GB2312" w:hAnsi="楷体_GB2312" w:eastAsia="楷体_GB2312" w:cs="楷体_GB2312"/>
          <w:color w:val="000000"/>
          <w:sz w:val="28"/>
          <w:szCs w:val="28"/>
        </w:rPr>
        <w:t>1</w:t>
      </w:r>
      <w:r>
        <w:rPr>
          <w:rFonts w:hint="eastAsia" w:ascii="楷体_GB2312" w:hAnsi="楷体_GB2312" w:eastAsia="楷体_GB2312" w:cs="楷体_GB2312"/>
          <w:color w:val="000000"/>
          <w:sz w:val="28"/>
          <w:szCs w:val="28"/>
          <w:lang w:eastAsia="zh-CN"/>
        </w:rPr>
        <w:t>、</w:t>
      </w:r>
      <w:r>
        <w:rPr>
          <w:rFonts w:hint="eastAsia" w:ascii="楷体_GB2312" w:hAnsi="楷体_GB2312" w:eastAsia="楷体_GB2312" w:cs="楷体_GB2312"/>
          <w:color w:val="000000"/>
          <w:sz w:val="28"/>
          <w:szCs w:val="28"/>
        </w:rPr>
        <w:t>学院组织申报。各学院要对所推荐的课程内容审核，不得存在政治性、思想性、科学性和规范性问题以及侵犯知识产权的问题。</w:t>
      </w:r>
      <w:r>
        <w:rPr>
          <w:rFonts w:hint="eastAsia" w:ascii="楷体_GB2312" w:hAnsi="楷体_GB2312" w:eastAsia="楷体_GB2312" w:cs="楷体_GB2312"/>
          <w:color w:val="000000" w:themeColor="text1"/>
          <w:sz w:val="28"/>
          <w:szCs w:val="28"/>
          <w14:textFill>
            <w14:solidFill>
              <w14:schemeClr w14:val="tx1"/>
            </w14:solidFill>
          </w14:textFill>
        </w:rPr>
        <w:t>并于201</w:t>
      </w:r>
      <w:r>
        <w:rPr>
          <w:rFonts w:hint="eastAsia" w:ascii="楷体_GB2312" w:hAnsi="楷体_GB2312" w:eastAsia="楷体_GB2312" w:cs="楷体_GB2312"/>
          <w:color w:val="000000" w:themeColor="text1"/>
          <w:sz w:val="28"/>
          <w:szCs w:val="28"/>
          <w:lang w:val="en-US" w:eastAsia="zh-CN"/>
          <w14:textFill>
            <w14:solidFill>
              <w14:schemeClr w14:val="tx1"/>
            </w14:solidFill>
          </w14:textFill>
        </w:rPr>
        <w:t>8</w:t>
      </w:r>
      <w:r>
        <w:rPr>
          <w:rFonts w:hint="eastAsia" w:ascii="楷体_GB2312" w:hAnsi="楷体_GB2312" w:eastAsia="楷体_GB2312" w:cs="楷体_GB2312"/>
          <w:color w:val="000000" w:themeColor="text1"/>
          <w:sz w:val="28"/>
          <w:szCs w:val="28"/>
          <w14:textFill>
            <w14:solidFill>
              <w14:schemeClr w14:val="tx1"/>
            </w14:solidFill>
          </w14:textFill>
        </w:rPr>
        <w:t>年</w:t>
      </w:r>
      <w:r>
        <w:rPr>
          <w:rFonts w:hint="eastAsia" w:ascii="楷体_GB2312" w:hAnsi="楷体_GB2312" w:eastAsia="楷体_GB2312" w:cs="楷体_GB2312"/>
          <w:color w:val="000000" w:themeColor="text1"/>
          <w:sz w:val="28"/>
          <w:szCs w:val="28"/>
          <w:lang w:val="en-US" w:eastAsia="zh-CN"/>
          <w14:textFill>
            <w14:solidFill>
              <w14:schemeClr w14:val="tx1"/>
            </w14:solidFill>
          </w14:textFill>
        </w:rPr>
        <w:t>3</w:t>
      </w:r>
      <w:r>
        <w:rPr>
          <w:rFonts w:hint="eastAsia" w:ascii="楷体_GB2312" w:hAnsi="楷体_GB2312" w:eastAsia="楷体_GB2312" w:cs="楷体_GB2312"/>
          <w:color w:val="000000" w:themeColor="text1"/>
          <w:sz w:val="28"/>
          <w:szCs w:val="28"/>
          <w14:textFill>
            <w14:solidFill>
              <w14:schemeClr w14:val="tx1"/>
            </w14:solidFill>
          </w14:textFill>
        </w:rPr>
        <w:t>月</w:t>
      </w:r>
      <w:r>
        <w:rPr>
          <w:rFonts w:hint="eastAsia" w:ascii="楷体_GB2312" w:hAnsi="楷体_GB2312" w:eastAsia="楷体_GB2312" w:cs="楷体_GB2312"/>
          <w:color w:val="000000" w:themeColor="text1"/>
          <w:sz w:val="28"/>
          <w:szCs w:val="28"/>
          <w:lang w:val="en-US" w:eastAsia="zh-CN"/>
          <w14:textFill>
            <w14:solidFill>
              <w14:schemeClr w14:val="tx1"/>
            </w14:solidFill>
          </w14:textFill>
        </w:rPr>
        <w:t>20</w:t>
      </w:r>
      <w:r>
        <w:rPr>
          <w:rFonts w:hint="eastAsia" w:ascii="楷体_GB2312" w:hAnsi="楷体_GB2312" w:eastAsia="楷体_GB2312" w:cs="楷体_GB2312"/>
          <w:color w:val="000000" w:themeColor="text1"/>
          <w:sz w:val="28"/>
          <w:szCs w:val="28"/>
          <w14:textFill>
            <w14:solidFill>
              <w14:schemeClr w14:val="tx1"/>
            </w14:solidFill>
          </w14:textFill>
        </w:rPr>
        <w:t>日</w:t>
      </w:r>
      <w:r>
        <w:rPr>
          <w:rFonts w:hint="eastAsia" w:ascii="楷体_GB2312" w:hAnsi="楷体_GB2312" w:eastAsia="楷体_GB2312" w:cs="楷体_GB2312"/>
          <w:color w:val="000000"/>
          <w:sz w:val="28"/>
          <w:szCs w:val="28"/>
        </w:rPr>
        <w:t>前将《</w:t>
      </w:r>
      <w:r>
        <w:rPr>
          <w:rFonts w:hint="eastAsia" w:ascii="楷体_GB2312" w:hAnsi="楷体_GB2312" w:eastAsia="楷体_GB2312" w:cs="楷体_GB2312"/>
          <w:color w:val="000000"/>
          <w:sz w:val="28"/>
          <w:szCs w:val="28"/>
          <w:lang w:eastAsia="zh-CN"/>
        </w:rPr>
        <w:t>江西科技师范大学</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精品</w:t>
      </w: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资源</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在线开放课程</w:t>
      </w:r>
      <w:r>
        <w:rPr>
          <w:rFonts w:hint="eastAsia" w:ascii="楷体_GB2312" w:hAnsi="楷体_GB2312" w:eastAsia="楷体_GB2312" w:cs="楷体_GB2312"/>
          <w:color w:val="000000"/>
          <w:sz w:val="28"/>
          <w:szCs w:val="28"/>
        </w:rPr>
        <w:t>申报书》（附件1）和《</w:t>
      </w:r>
      <w:r>
        <w:rPr>
          <w:rFonts w:hint="eastAsia" w:ascii="楷体_GB2312" w:hAnsi="楷体_GB2312" w:eastAsia="楷体_GB2312" w:cs="楷体_GB2312"/>
          <w:color w:val="000000"/>
          <w:sz w:val="28"/>
          <w:szCs w:val="28"/>
          <w:lang w:eastAsia="zh-CN"/>
        </w:rPr>
        <w:t>江西科技师范大学</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精品</w:t>
      </w: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资源</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在线开放课程</w:t>
      </w:r>
      <w:r>
        <w:rPr>
          <w:rFonts w:hint="eastAsia" w:ascii="楷体_GB2312" w:hAnsi="楷体_GB2312" w:eastAsia="楷体_GB2312" w:cs="楷体_GB2312"/>
          <w:color w:val="000000"/>
          <w:sz w:val="28"/>
          <w:szCs w:val="28"/>
        </w:rPr>
        <w:t>汇总表》（附件2）纸质文档（一式</w:t>
      </w:r>
      <w:r>
        <w:rPr>
          <w:rFonts w:hint="eastAsia" w:ascii="楷体_GB2312" w:hAnsi="楷体_GB2312" w:eastAsia="楷体_GB2312" w:cs="楷体_GB2312"/>
          <w:color w:val="000000"/>
          <w:sz w:val="28"/>
          <w:szCs w:val="28"/>
          <w:lang w:eastAsia="zh-CN"/>
        </w:rPr>
        <w:t>三</w:t>
      </w:r>
      <w:r>
        <w:rPr>
          <w:rFonts w:hint="eastAsia" w:ascii="楷体_GB2312" w:hAnsi="楷体_GB2312" w:eastAsia="楷体_GB2312" w:cs="楷体_GB2312"/>
          <w:color w:val="000000"/>
          <w:sz w:val="28"/>
          <w:szCs w:val="28"/>
        </w:rPr>
        <w:t>份）交</w:t>
      </w:r>
      <w:r>
        <w:rPr>
          <w:rFonts w:hint="eastAsia" w:ascii="楷体_GB2312" w:hAnsi="楷体_GB2312" w:eastAsia="楷体_GB2312" w:cs="楷体_GB2312"/>
          <w:color w:val="000000"/>
          <w:sz w:val="28"/>
          <w:szCs w:val="28"/>
          <w:lang w:eastAsia="zh-CN"/>
        </w:rPr>
        <w:t>学院汇总后交教务处建设科</w:t>
      </w:r>
      <w:r>
        <w:rPr>
          <w:rFonts w:hint="eastAsia" w:ascii="楷体_GB2312" w:hAnsi="楷体_GB2312" w:eastAsia="楷体_GB2312" w:cs="楷体_GB2312"/>
          <w:color w:val="000000"/>
          <w:sz w:val="28"/>
          <w:szCs w:val="28"/>
        </w:rPr>
        <w:t>，</w:t>
      </w:r>
      <w:r>
        <w:rPr>
          <w:rFonts w:hint="eastAsia" w:ascii="楷体_GB2312" w:hAnsi="楷体_GB2312" w:eastAsia="楷体_GB2312" w:cs="楷体_GB2312"/>
          <w:color w:val="000000"/>
          <w:sz w:val="28"/>
          <w:szCs w:val="28"/>
          <w:lang w:eastAsia="zh-CN"/>
        </w:rPr>
        <w:t>电子稿发邮箱：</w:t>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fldChar w:fldCharType="begin"/>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instrText xml:space="preserve"> HYPERLINK "mailto:3815610@126.com。" </w:instrText>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fldChar w:fldCharType="separate"/>
      </w:r>
      <w:r>
        <w:rPr>
          <w:rStyle w:val="4"/>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t>3815610@163.com。</w:t>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fldChar w:fldCharType="end"/>
      </w:r>
    </w:p>
    <w:p>
      <w:pPr>
        <w:adjustRightInd w:val="0"/>
        <w:snapToGrid w:val="0"/>
        <w:spacing w:line="580" w:lineRule="exact"/>
        <w:ind w:firstLine="640"/>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val="en-US" w:eastAsia="zh-CN"/>
        </w:rPr>
        <w:t>2、</w:t>
      </w:r>
      <w:r>
        <w:rPr>
          <w:rFonts w:hint="eastAsia" w:ascii="楷体_GB2312" w:hAnsi="楷体_GB2312" w:eastAsia="楷体_GB2312" w:cs="楷体_GB2312"/>
          <w:color w:val="000000"/>
          <w:sz w:val="28"/>
          <w:szCs w:val="28"/>
          <w:lang w:eastAsia="zh-CN"/>
        </w:rPr>
        <w:t>教务处组织专家评审、公布立项。</w:t>
      </w:r>
    </w:p>
    <w:p>
      <w:pPr>
        <w:adjustRightInd w:val="0"/>
        <w:snapToGrid w:val="0"/>
        <w:spacing w:line="580" w:lineRule="exact"/>
        <w:ind w:firstLine="640"/>
        <w:rPr>
          <w:rFonts w:hint="eastAsia" w:ascii="楷体_GB2312" w:hAnsi="楷体_GB2312" w:eastAsia="楷体_GB2312" w:cs="楷体_GB2312"/>
          <w:b/>
          <w:bCs/>
          <w:color w:val="000000"/>
          <w:sz w:val="28"/>
          <w:szCs w:val="28"/>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六、</w:t>
      </w:r>
      <w:r>
        <w:rPr>
          <w:rFonts w:hint="eastAsia" w:ascii="楷体_GB2312" w:hAnsi="楷体_GB2312" w:eastAsia="楷体_GB2312" w:cs="楷体_GB2312"/>
          <w:b/>
          <w:bCs/>
          <w:color w:val="000000"/>
          <w:sz w:val="28"/>
          <w:szCs w:val="28"/>
        </w:rPr>
        <w:t>建设任务</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1</w:t>
      </w:r>
      <w:r>
        <w:rPr>
          <w:rFonts w:hint="eastAsia" w:ascii="楷体_GB2312" w:hAnsi="楷体_GB2312" w:eastAsia="楷体_GB2312" w:cs="楷体_GB2312"/>
          <w:color w:val="000000"/>
          <w:sz w:val="28"/>
          <w:szCs w:val="28"/>
          <w:lang w:eastAsia="zh-CN"/>
        </w:rPr>
        <w:t>、</w:t>
      </w:r>
      <w:r>
        <w:rPr>
          <w:rFonts w:hint="eastAsia" w:ascii="楷体_GB2312" w:hAnsi="楷体_GB2312" w:eastAsia="楷体_GB2312" w:cs="楷体_GB2312"/>
          <w:color w:val="000000"/>
          <w:sz w:val="28"/>
          <w:szCs w:val="28"/>
        </w:rPr>
        <w:t>课程建设期</w:t>
      </w:r>
      <w:r>
        <w:rPr>
          <w:rFonts w:hint="eastAsia" w:ascii="楷体_GB2312" w:hAnsi="楷体_GB2312" w:eastAsia="楷体_GB2312" w:cs="楷体_GB2312"/>
          <w:color w:val="000000" w:themeColor="text1"/>
          <w:sz w:val="28"/>
          <w:szCs w:val="28"/>
          <w14:textFill>
            <w14:solidFill>
              <w14:schemeClr w14:val="tx1"/>
            </w14:solidFill>
          </w14:textFill>
        </w:rPr>
        <w:t>为201</w:t>
      </w:r>
      <w:r>
        <w:rPr>
          <w:rFonts w:hint="eastAsia" w:ascii="楷体_GB2312" w:hAnsi="楷体_GB2312" w:eastAsia="楷体_GB2312" w:cs="楷体_GB2312"/>
          <w:color w:val="000000" w:themeColor="text1"/>
          <w:sz w:val="28"/>
          <w:szCs w:val="28"/>
          <w:lang w:val="en-US" w:eastAsia="zh-CN"/>
          <w14:textFill>
            <w14:solidFill>
              <w14:schemeClr w14:val="tx1"/>
            </w14:solidFill>
          </w14:textFill>
        </w:rPr>
        <w:t>8</w:t>
      </w:r>
      <w:r>
        <w:rPr>
          <w:rFonts w:hint="eastAsia" w:ascii="楷体_GB2312" w:hAnsi="楷体_GB2312" w:eastAsia="楷体_GB2312" w:cs="楷体_GB2312"/>
          <w:color w:val="000000" w:themeColor="text1"/>
          <w:sz w:val="28"/>
          <w:szCs w:val="28"/>
          <w14:textFill>
            <w14:solidFill>
              <w14:schemeClr w14:val="tx1"/>
            </w14:solidFill>
          </w14:textFill>
        </w:rPr>
        <w:t>年</w:t>
      </w:r>
      <w:r>
        <w:rPr>
          <w:rFonts w:hint="eastAsia" w:ascii="楷体_GB2312" w:hAnsi="楷体_GB2312" w:eastAsia="楷体_GB2312" w:cs="楷体_GB2312"/>
          <w:color w:val="000000" w:themeColor="text1"/>
          <w:sz w:val="28"/>
          <w:szCs w:val="28"/>
          <w:lang w:val="en-US" w:eastAsia="zh-CN"/>
          <w14:textFill>
            <w14:solidFill>
              <w14:schemeClr w14:val="tx1"/>
            </w14:solidFill>
          </w14:textFill>
        </w:rPr>
        <w:t>1</w:t>
      </w:r>
      <w:r>
        <w:rPr>
          <w:rFonts w:hint="eastAsia" w:ascii="楷体_GB2312" w:hAnsi="楷体_GB2312" w:eastAsia="楷体_GB2312" w:cs="楷体_GB2312"/>
          <w:color w:val="000000" w:themeColor="text1"/>
          <w:sz w:val="28"/>
          <w:szCs w:val="28"/>
          <w14:textFill>
            <w14:solidFill>
              <w14:schemeClr w14:val="tx1"/>
            </w14:solidFill>
          </w14:textFill>
        </w:rPr>
        <w:t>月-2018年1</w:t>
      </w:r>
      <w:r>
        <w:rPr>
          <w:rFonts w:hint="eastAsia" w:ascii="楷体_GB2312" w:hAnsi="楷体_GB2312" w:eastAsia="楷体_GB2312" w:cs="楷体_GB2312"/>
          <w:color w:val="000000" w:themeColor="text1"/>
          <w:sz w:val="28"/>
          <w:szCs w:val="28"/>
          <w:lang w:val="en-US" w:eastAsia="zh-CN"/>
          <w14:textFill>
            <w14:solidFill>
              <w14:schemeClr w14:val="tx1"/>
            </w14:solidFill>
          </w14:textFill>
        </w:rPr>
        <w:t>2</w:t>
      </w:r>
      <w:r>
        <w:rPr>
          <w:rFonts w:hint="eastAsia" w:ascii="楷体_GB2312" w:hAnsi="楷体_GB2312" w:eastAsia="楷体_GB2312" w:cs="楷体_GB2312"/>
          <w:color w:val="000000" w:themeColor="text1"/>
          <w:sz w:val="28"/>
          <w:szCs w:val="28"/>
          <w14:textFill>
            <w14:solidFill>
              <w14:schemeClr w14:val="tx1"/>
            </w14:solidFill>
          </w14:textFill>
        </w:rPr>
        <w:t>月，课</w:t>
      </w:r>
      <w:r>
        <w:rPr>
          <w:rFonts w:hint="eastAsia" w:ascii="楷体_GB2312" w:hAnsi="楷体_GB2312" w:eastAsia="楷体_GB2312" w:cs="楷体_GB2312"/>
          <w:color w:val="000000"/>
          <w:sz w:val="28"/>
          <w:szCs w:val="28"/>
        </w:rPr>
        <w:t>程团队应按进度完成数字化学习资源的制作，按照课程教学计划要求完成相关配置，提供正常在线教学服务。</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2</w:t>
      </w:r>
      <w:r>
        <w:rPr>
          <w:rFonts w:hint="eastAsia" w:ascii="楷体_GB2312" w:hAnsi="楷体_GB2312" w:eastAsia="楷体_GB2312" w:cs="楷体_GB2312"/>
          <w:color w:val="000000"/>
          <w:sz w:val="28"/>
          <w:szCs w:val="28"/>
          <w:lang w:eastAsia="zh-CN"/>
        </w:rPr>
        <w:t>、</w:t>
      </w:r>
      <w:r>
        <w:rPr>
          <w:rFonts w:hint="eastAsia" w:ascii="楷体_GB2312" w:hAnsi="楷体_GB2312" w:eastAsia="楷体_GB2312" w:cs="楷体_GB2312"/>
          <w:color w:val="000000"/>
          <w:sz w:val="28"/>
          <w:szCs w:val="28"/>
        </w:rPr>
        <w:t>课程基本资源系统完整，能反映本课程教学理念、教学思想、教学设计，展现课程团队教学风采；视频、教案和演示文稿等经过精心设计和制作，内容准确、系统、完整，对教学内容、教学方法、教学手段等进行了统筹、集成，应用效果好。具有较高的交互性和智能化水平，学生学习使用方便，符合《省级精品在线开放课程建设技术规范》（见附件3）。</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b/>
          <w:bCs/>
          <w:color w:val="000000"/>
          <w:sz w:val="28"/>
          <w:szCs w:val="28"/>
        </w:rPr>
        <w:t>七、支持政策</w:t>
      </w:r>
    </w:p>
    <w:p>
      <w:pPr>
        <w:adjustRightInd w:val="0"/>
        <w:snapToGrid w:val="0"/>
        <w:spacing w:line="580" w:lineRule="exact"/>
        <w:ind w:firstLine="640"/>
        <w:rPr>
          <w:rFonts w:hint="eastAsia" w:ascii="楷体_GB2312" w:hAnsi="楷体_GB2312" w:eastAsia="楷体_GB2312" w:cs="楷体_GB2312"/>
          <w:color w:val="000000"/>
          <w:sz w:val="28"/>
          <w:szCs w:val="28"/>
          <w:lang w:val="en-US" w:eastAsia="zh-CN"/>
        </w:rPr>
      </w:pPr>
      <w:r>
        <w:rPr>
          <w:rFonts w:hint="eastAsia" w:ascii="楷体_GB2312" w:hAnsi="楷体_GB2312" w:eastAsia="楷体_GB2312" w:cs="楷体_GB2312"/>
          <w:color w:val="000000"/>
          <w:sz w:val="28"/>
          <w:szCs w:val="28"/>
        </w:rPr>
        <w:t>1</w:t>
      </w:r>
      <w:r>
        <w:rPr>
          <w:rFonts w:hint="eastAsia" w:ascii="楷体_GB2312" w:hAnsi="楷体_GB2312" w:eastAsia="楷体_GB2312" w:cs="楷体_GB2312"/>
          <w:color w:val="000000"/>
          <w:sz w:val="28"/>
          <w:szCs w:val="28"/>
          <w:lang w:eastAsia="zh-CN"/>
        </w:rPr>
        <w:t>、</w:t>
      </w:r>
      <w:r>
        <w:rPr>
          <w:rFonts w:hint="eastAsia" w:ascii="楷体_GB2312" w:hAnsi="楷体_GB2312" w:eastAsia="楷体_GB2312" w:cs="楷体_GB2312"/>
          <w:color w:val="000000"/>
          <w:sz w:val="28"/>
          <w:szCs w:val="28"/>
        </w:rPr>
        <w:t>设立课程专项建设经费，主要用于课程制作，课程制作原则上采取面向社会招投标进行建设。学校对立项建设的精品</w:t>
      </w:r>
      <w:r>
        <w:rPr>
          <w:rFonts w:hint="eastAsia" w:ascii="楷体_GB2312" w:hAnsi="楷体_GB2312" w:eastAsia="楷体_GB2312" w:cs="楷体_GB2312"/>
          <w:color w:val="000000"/>
          <w:sz w:val="28"/>
          <w:szCs w:val="28"/>
          <w:lang w:eastAsia="zh-CN"/>
        </w:rPr>
        <w:t>资源</w:t>
      </w:r>
      <w:r>
        <w:rPr>
          <w:rFonts w:hint="eastAsia" w:ascii="楷体_GB2312" w:hAnsi="楷体_GB2312" w:eastAsia="楷体_GB2312" w:cs="楷体_GB2312"/>
          <w:color w:val="000000"/>
          <w:sz w:val="28"/>
          <w:szCs w:val="28"/>
        </w:rPr>
        <w:t>在线开放课程分步投入资助，</w:t>
      </w:r>
      <w:r>
        <w:rPr>
          <w:rFonts w:hint="eastAsia" w:ascii="楷体_GB2312" w:hAnsi="楷体_GB2312" w:eastAsia="楷体_GB2312" w:cs="楷体_GB2312"/>
          <w:color w:val="000000"/>
          <w:sz w:val="28"/>
          <w:szCs w:val="28"/>
          <w:lang w:eastAsia="zh-CN"/>
        </w:rPr>
        <w:t>重点项目</w:t>
      </w:r>
      <w:r>
        <w:rPr>
          <w:rFonts w:hint="eastAsia" w:ascii="楷体_GB2312" w:hAnsi="楷体_GB2312" w:eastAsia="楷体_GB2312" w:cs="楷体_GB2312"/>
          <w:color w:val="000000"/>
          <w:sz w:val="28"/>
          <w:szCs w:val="28"/>
          <w:lang w:val="en-US" w:eastAsia="zh-CN"/>
        </w:rPr>
        <w:t>4万。一般项目2万。</w:t>
      </w:r>
    </w:p>
    <w:p>
      <w:pPr>
        <w:adjustRightInd w:val="0"/>
        <w:snapToGrid w:val="0"/>
        <w:spacing w:line="580" w:lineRule="exact"/>
        <w:ind w:firstLine="640"/>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val="en-US" w:eastAsia="zh-CN"/>
        </w:rPr>
        <w:t>2、</w:t>
      </w:r>
      <w:r>
        <w:rPr>
          <w:rFonts w:hint="eastAsia" w:ascii="楷体_GB2312" w:hAnsi="楷体_GB2312" w:eastAsia="楷体_GB2312" w:cs="楷体_GB2312"/>
          <w:color w:val="000000"/>
          <w:sz w:val="28"/>
          <w:szCs w:val="28"/>
        </w:rPr>
        <w:t>已立项建设完成的课程在社会公众平台开</w:t>
      </w:r>
      <w:r>
        <w:rPr>
          <w:rFonts w:hint="eastAsia" w:ascii="楷体_GB2312" w:hAnsi="楷体_GB2312" w:eastAsia="楷体_GB2312" w:cs="楷体_GB2312"/>
          <w:color w:val="auto"/>
          <w:sz w:val="28"/>
          <w:szCs w:val="28"/>
        </w:rPr>
        <w:t>课两期</w:t>
      </w:r>
      <w:r>
        <w:rPr>
          <w:rFonts w:hint="eastAsia" w:ascii="楷体_GB2312" w:hAnsi="楷体_GB2312" w:eastAsia="楷体_GB2312" w:cs="楷体_GB2312"/>
          <w:color w:val="000000"/>
          <w:sz w:val="28"/>
          <w:szCs w:val="28"/>
        </w:rPr>
        <w:t>以上，学校将推荐参评国家级精品在线开放课程。</w:t>
      </w:r>
    </w:p>
    <w:p>
      <w:pPr>
        <w:adjustRightInd w:val="0"/>
        <w:snapToGrid w:val="0"/>
        <w:spacing w:line="580" w:lineRule="exact"/>
        <w:ind w:firstLine="640"/>
        <w:rPr>
          <w:rFonts w:hint="eastAsia" w:ascii="楷体_GB2312" w:hAnsi="楷体_GB2312" w:eastAsia="楷体_GB2312" w:cs="楷体_GB2312"/>
          <w:color w:val="000000"/>
          <w:sz w:val="28"/>
          <w:szCs w:val="28"/>
        </w:rPr>
      </w:pPr>
    </w:p>
    <w:p>
      <w:pPr>
        <w:adjustRightInd w:val="0"/>
        <w:snapToGrid w:val="0"/>
        <w:spacing w:line="580" w:lineRule="exact"/>
        <w:ind w:firstLine="640"/>
        <w:rPr>
          <w:rFonts w:hint="eastAsia" w:ascii="楷体_GB2312" w:hAnsi="楷体_GB2312" w:eastAsia="楷体_GB2312" w:cs="楷体_GB2312"/>
          <w:color w:val="000000"/>
          <w:sz w:val="28"/>
          <w:szCs w:val="28"/>
          <w:lang w:val="en-US" w:eastAsia="zh-CN"/>
        </w:rPr>
      </w:pPr>
      <w:r>
        <w:rPr>
          <w:rFonts w:hint="eastAsia" w:ascii="楷体_GB2312" w:hAnsi="楷体_GB2312" w:eastAsia="楷体_GB2312" w:cs="楷体_GB2312"/>
          <w:color w:val="000000"/>
          <w:sz w:val="28"/>
          <w:szCs w:val="28"/>
          <w:lang w:eastAsia="zh-CN"/>
        </w:rPr>
        <w:t>附件：</w:t>
      </w:r>
      <w:r>
        <w:rPr>
          <w:rFonts w:hint="eastAsia" w:ascii="楷体_GB2312" w:hAnsi="楷体_GB2312" w:eastAsia="楷体_GB2312" w:cs="楷体_GB2312"/>
          <w:color w:val="000000"/>
          <w:sz w:val="28"/>
          <w:szCs w:val="28"/>
          <w:lang w:val="en-US" w:eastAsia="zh-CN"/>
        </w:rPr>
        <w:t>1.</w:t>
      </w:r>
      <w:r>
        <w:rPr>
          <w:rFonts w:hint="eastAsia" w:ascii="楷体_GB2312" w:hAnsi="楷体_GB2312" w:eastAsia="楷体_GB2312" w:cs="楷体_GB2312"/>
          <w:color w:val="000000"/>
          <w:sz w:val="28"/>
          <w:szCs w:val="28"/>
          <w:lang w:eastAsia="zh-CN"/>
        </w:rPr>
        <w:t>江西科技师范大学</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精品</w:t>
      </w: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资源</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在线开放课程</w:t>
      </w:r>
      <w:r>
        <w:rPr>
          <w:rFonts w:hint="eastAsia" w:ascii="楷体_GB2312" w:hAnsi="楷体_GB2312" w:eastAsia="楷体_GB2312" w:cs="楷体_GB2312"/>
          <w:color w:val="000000"/>
          <w:sz w:val="28"/>
          <w:szCs w:val="28"/>
        </w:rPr>
        <w:t>申报书</w:t>
      </w:r>
    </w:p>
    <w:p>
      <w:pPr>
        <w:adjustRightInd w:val="0"/>
        <w:snapToGrid w:val="0"/>
        <w:spacing w:line="580" w:lineRule="exact"/>
        <w:ind w:firstLine="1408" w:firstLineChars="503"/>
        <w:rPr>
          <w:rFonts w:hint="eastAsia" w:ascii="楷体_GB2312" w:hAnsi="楷体_GB2312" w:eastAsia="楷体_GB2312" w:cs="楷体_GB2312"/>
          <w:color w:val="000000"/>
          <w:sz w:val="28"/>
          <w:szCs w:val="28"/>
          <w:lang w:val="en-US" w:eastAsia="zh-CN"/>
        </w:rPr>
      </w:pPr>
      <w:r>
        <w:rPr>
          <w:rFonts w:hint="eastAsia" w:ascii="楷体_GB2312" w:hAnsi="楷体_GB2312" w:eastAsia="楷体_GB2312" w:cs="楷体_GB2312"/>
          <w:color w:val="000000"/>
          <w:sz w:val="28"/>
          <w:szCs w:val="28"/>
          <w:lang w:val="en-US" w:eastAsia="zh-CN"/>
        </w:rPr>
        <w:t>2.</w:t>
      </w:r>
      <w:r>
        <w:rPr>
          <w:rFonts w:hint="eastAsia" w:ascii="楷体_GB2312" w:hAnsi="楷体_GB2312" w:eastAsia="楷体_GB2312" w:cs="楷体_GB2312"/>
          <w:color w:val="000000"/>
          <w:sz w:val="28"/>
          <w:szCs w:val="28"/>
          <w:lang w:eastAsia="zh-CN"/>
        </w:rPr>
        <w:t>江西科技师范大学</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精品</w:t>
      </w: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资源</w:t>
      </w:r>
      <w:r>
        <w:rPr>
          <w:rFonts w:hint="default" w:ascii="楷体_GB2312" w:hAnsi="楷体_GB2312" w:eastAsia="楷体_GB2312" w:cs="楷体_GB2312"/>
          <w:b w:val="0"/>
          <w:i w:val="0"/>
          <w:caps w:val="0"/>
          <w:color w:val="000000"/>
          <w:spacing w:val="0"/>
          <w:kern w:val="0"/>
          <w:sz w:val="28"/>
          <w:szCs w:val="28"/>
          <w:shd w:val="clear" w:fill="FFFFFF"/>
          <w:lang w:val="en-US" w:eastAsia="zh-CN" w:bidi="ar"/>
        </w:rPr>
        <w:t>在线开放课程</w:t>
      </w:r>
      <w:r>
        <w:rPr>
          <w:rFonts w:hint="eastAsia" w:ascii="楷体_GB2312" w:hAnsi="楷体_GB2312" w:eastAsia="楷体_GB2312" w:cs="楷体_GB2312"/>
          <w:color w:val="000000"/>
          <w:sz w:val="28"/>
          <w:szCs w:val="28"/>
        </w:rPr>
        <w:t>程汇总表</w:t>
      </w:r>
    </w:p>
    <w:p>
      <w:pPr>
        <w:adjustRightInd w:val="0"/>
        <w:snapToGrid w:val="0"/>
        <w:spacing w:line="580" w:lineRule="exact"/>
        <w:ind w:firstLine="1408" w:firstLineChars="503"/>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val="en-US" w:eastAsia="zh-CN"/>
        </w:rPr>
        <w:t>3.</w:t>
      </w:r>
      <w:r>
        <w:rPr>
          <w:rFonts w:hint="eastAsia" w:ascii="楷体_GB2312" w:hAnsi="楷体_GB2312" w:eastAsia="楷体_GB2312" w:cs="楷体_GB2312"/>
          <w:color w:val="000000"/>
          <w:sz w:val="28"/>
          <w:szCs w:val="28"/>
        </w:rPr>
        <w:t>省级精品在线开放课程建设技术规范</w:t>
      </w:r>
    </w:p>
    <w:p>
      <w:pPr>
        <w:adjustRightInd w:val="0"/>
        <w:snapToGrid w:val="0"/>
        <w:spacing w:line="580" w:lineRule="exact"/>
        <w:ind w:firstLine="1408" w:firstLineChars="503"/>
        <w:rPr>
          <w:rFonts w:hint="eastAsia" w:ascii="楷体_GB2312" w:hAnsi="楷体_GB2312" w:eastAsia="楷体_GB2312" w:cs="楷体_GB2312"/>
          <w:color w:val="000000"/>
          <w:sz w:val="28"/>
          <w:szCs w:val="28"/>
          <w:lang w:val="en-US" w:eastAsia="zh-CN"/>
        </w:rPr>
      </w:pPr>
    </w:p>
    <w:p>
      <w:pPr>
        <w:adjustRightInd w:val="0"/>
        <w:snapToGrid w:val="0"/>
        <w:spacing w:line="580" w:lineRule="exact"/>
        <w:ind w:firstLine="4765" w:firstLineChars="1702"/>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 xml:space="preserve">       教务处</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 xml:space="preserve">                    </w:t>
      </w:r>
      <w:bookmarkStart w:id="0" w:name="_GoBack"/>
      <w:bookmarkEnd w:id="0"/>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 xml:space="preserve">             2018年1月17日</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color w:val="444444"/>
          <w:kern w:val="0"/>
          <w:sz w:val="30"/>
          <w:szCs w:val="30"/>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2000019F" w:csb1="00000000"/>
  </w:font>
  <w:font w:name="楷体">
    <w:altName w:val="楷体_GB2312"/>
    <w:panose1 w:val="02010609060101010101"/>
    <w:charset w:val="86"/>
    <w:family w:val="auto"/>
    <w:pitch w:val="default"/>
    <w:sig w:usb0="00000000" w:usb1="00000000" w:usb2="00000016" w:usb3="00000000" w:csb0="00040001" w:csb1="00000000"/>
  </w:font>
  <w:font w:name="@宋体">
    <w:panose1 w:val="02010600030101010101"/>
    <w:charset w:val="86"/>
    <w:family w:val="auto"/>
    <w:pitch w:val="default"/>
    <w:sig w:usb0="00000003" w:usb1="080E0000" w:usb2="00000000" w:usb3="00000000" w:csb0="00040001" w:csb1="00000000"/>
  </w:font>
  <w:font w:name="@黑体">
    <w:panose1 w:val="02010600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方正小标宋_GBK">
    <w:altName w:val="宋体"/>
    <w:panose1 w:val="00000000000000000000"/>
    <w:charset w:val="86"/>
    <w:family w:val="script"/>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仿宋">
    <w:altName w:val="仿宋_GB2312"/>
    <w:panose1 w:val="02010600040101010101"/>
    <w:charset w:val="86"/>
    <w:family w:val="auto"/>
    <w:pitch w:val="default"/>
    <w:sig w:usb0="00000000" w:usb1="00000000" w:usb2="00000010" w:usb3="00000000" w:csb0="0004009F" w:csb1="00000000"/>
  </w:font>
  <w:font w:name="华文仿宋">
    <w:altName w:val="仿宋_GB2312"/>
    <w:panose1 w:val="00000000000000000000"/>
    <w:charset w:val="00"/>
    <w:family w:val="auto"/>
    <w:pitch w:val="default"/>
    <w:sig w:usb0="00000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仿宋">
    <w:altName w:val="宋体"/>
    <w:panose1 w:val="00000000000000000000"/>
    <w:charset w:val="00"/>
    <w:family w:val="auto"/>
    <w:pitch w:val="default"/>
    <w:sig w:usb0="00000000" w:usb1="00000000" w:usb2="00000000" w:usb3="00000000" w:csb0="00000000" w:csb1="00000000"/>
  </w:font>
  <w:font w:name="微软雅黑">
    <w:altName w:val="黑体"/>
    <w:panose1 w:val="020B0503020204020204"/>
    <w:charset w:val="86"/>
    <w:family w:val="auto"/>
    <w:pitch w:val="default"/>
    <w:sig w:usb0="00000000" w:usb1="00000000" w:usb2="00000016" w:usb3="00000000" w:csb0="0004001F" w:csb1="0000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swiss"/>
    <w:pitch w:val="default"/>
    <w:sig w:usb0="61007A87" w:usb1="80000000" w:usb2="00000008"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13</w:t>
    </w:r>
    <w:r>
      <w:rPr>
        <w:sz w:val="28"/>
        <w:szCs w:val="28"/>
      </w:rPr>
      <w:fldChar w:fldCharType="end"/>
    </w:r>
    <w:r>
      <w:rPr>
        <w:rFonts w:hint="eastAsia"/>
        <w:sz w:val="28"/>
        <w:szCs w:val="28"/>
      </w:rPr>
      <w:t xml:space="preserve"> —</w:t>
    </w:r>
    <w:r>
      <w:rPr>
        <w:rFonts w:hint="eastAsia"/>
        <w:color w:val="FFFFFF"/>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16A3B"/>
    <w:multiLevelType w:val="singleLevel"/>
    <w:tmpl w:val="5A016A3B"/>
    <w:lvl w:ilvl="0" w:tentative="0">
      <w:start w:val="1"/>
      <w:numFmt w:val="chineseCounting"/>
      <w:suff w:val="nothing"/>
      <w:lvlText w:val="%1、"/>
      <w:lvlJc w:val="left"/>
    </w:lvl>
  </w:abstractNum>
  <w:abstractNum w:abstractNumId="1">
    <w:nsid w:val="5A02A092"/>
    <w:multiLevelType w:val="singleLevel"/>
    <w:tmpl w:val="5A02A09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46C61"/>
    <w:rsid w:val="075202E1"/>
    <w:rsid w:val="0C3F0260"/>
    <w:rsid w:val="10554CF0"/>
    <w:rsid w:val="136C6BE0"/>
    <w:rsid w:val="14841C39"/>
    <w:rsid w:val="18174D32"/>
    <w:rsid w:val="1ECE46AD"/>
    <w:rsid w:val="21E46C61"/>
    <w:rsid w:val="253855E0"/>
    <w:rsid w:val="32720046"/>
    <w:rsid w:val="3CAE0F2A"/>
    <w:rsid w:val="467F0686"/>
    <w:rsid w:val="4CBA7DC6"/>
    <w:rsid w:val="51EC7186"/>
    <w:rsid w:val="62381581"/>
    <w:rsid w:val="65E87D0C"/>
    <w:rsid w:val="6A5D0643"/>
    <w:rsid w:val="71546080"/>
    <w:rsid w:val="71D510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Hyperlink"/>
    <w:basedOn w:val="3"/>
    <w:qFormat/>
    <w:uiPriority w:val="0"/>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2017-11-07T07:49:00Z</dcterms:created>
  <dc:creator>Administrator</dc:creator>
  <cp:lastModifiedBy>Administrator</cp:lastModifiedBy>
  <dcterms:modified xsi:type="dcterms:W3CDTF">2018-01-17T04:57:05Z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